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0528BB" w14:textId="77777777" w:rsidR="003E62A0" w:rsidRDefault="003E62A0">
      <w:pPr>
        <w:spacing w:line="560" w:lineRule="exact"/>
        <w:jc w:val="center"/>
        <w:rPr>
          <w:rFonts w:eastAsia="方正小标宋简体"/>
          <w:snapToGrid w:val="0"/>
          <w:kern w:val="0"/>
          <w:sz w:val="44"/>
          <w:szCs w:val="44"/>
        </w:rPr>
      </w:pPr>
      <w:bookmarkStart w:id="0" w:name="zhengwen"/>
    </w:p>
    <w:p w14:paraId="7FF8527D" w14:textId="77777777" w:rsidR="003E62A0" w:rsidRDefault="003E62A0">
      <w:pPr>
        <w:spacing w:line="560" w:lineRule="exact"/>
        <w:jc w:val="center"/>
        <w:rPr>
          <w:rFonts w:eastAsia="方正小标宋简体"/>
          <w:snapToGrid w:val="0"/>
          <w:kern w:val="0"/>
          <w:sz w:val="44"/>
          <w:szCs w:val="44"/>
        </w:rPr>
      </w:pPr>
    </w:p>
    <w:p w14:paraId="173F560C" w14:textId="0810BE9C" w:rsidR="00651D0C" w:rsidRPr="00ED3908" w:rsidRDefault="0075498C">
      <w:pPr>
        <w:pStyle w:val="155"/>
        <w:adjustRightInd w:val="0"/>
        <w:snapToGrid w:val="0"/>
        <w:spacing w:before="0" w:line="600" w:lineRule="exact"/>
        <w:ind w:firstLineChars="0" w:firstLine="0"/>
        <w:rPr>
          <w:rFonts w:asciiTheme="majorEastAsia" w:eastAsiaTheme="majorEastAsia" w:hAnsiTheme="majorEastAsia" w:hint="eastAsia"/>
          <w:b/>
          <w:bCs/>
          <w:color w:val="333333"/>
          <w:sz w:val="44"/>
          <w:szCs w:val="44"/>
          <w:shd w:val="clear" w:color="auto" w:fill="FFFFFF"/>
        </w:rPr>
      </w:pPr>
      <w:r w:rsidRPr="0075498C">
        <w:rPr>
          <w:rFonts w:asciiTheme="majorEastAsia" w:eastAsiaTheme="majorEastAsia" w:hAnsiTheme="majorEastAsia"/>
          <w:b/>
          <w:bCs/>
          <w:color w:val="333333"/>
          <w:sz w:val="44"/>
          <w:szCs w:val="44"/>
          <w:shd w:val="clear" w:color="auto" w:fill="FFFFFF"/>
        </w:rPr>
        <w:t>宁波市居住房屋租赁管理若干规定</w:t>
      </w:r>
    </w:p>
    <w:p w14:paraId="0EA8B8B4" w14:textId="62E2518B" w:rsidR="003E62A0" w:rsidRPr="00091FFA" w:rsidRDefault="00651D0C" w:rsidP="00EF35E2">
      <w:pPr>
        <w:spacing w:line="560" w:lineRule="exact"/>
        <w:ind w:firstLine="631"/>
        <w:jc w:val="center"/>
        <w:rPr>
          <w:rFonts w:ascii="楷体_GB2312" w:eastAsia="楷体_GB2312" w:hAnsi="楷体_GB2312" w:cs="楷体_GB2312"/>
          <w:color w:val="333333"/>
          <w:sz w:val="32"/>
          <w:szCs w:val="32"/>
          <w:shd w:val="clear" w:color="auto" w:fill="FFFFFF"/>
        </w:rPr>
      </w:pPr>
      <w:r w:rsidRPr="00091FFA">
        <w:rPr>
          <w:rFonts w:ascii="楷体_GB2312" w:eastAsia="楷体_GB2312" w:hAnsi="楷体_GB2312" w:cs="楷体_GB2312" w:hint="eastAsia"/>
          <w:color w:val="333333"/>
          <w:sz w:val="32"/>
          <w:szCs w:val="32"/>
          <w:shd w:val="clear" w:color="auto" w:fill="FFFFFF"/>
        </w:rPr>
        <w:t>（</w:t>
      </w:r>
      <w:r w:rsidR="00B27301" w:rsidRPr="00B27301">
        <w:rPr>
          <w:rFonts w:ascii="楷体_GB2312" w:eastAsia="楷体_GB2312" w:hAnsi="楷体_GB2312" w:cs="楷体_GB2312" w:hint="eastAsia"/>
          <w:color w:val="333333"/>
          <w:sz w:val="32"/>
          <w:szCs w:val="32"/>
          <w:shd w:val="clear" w:color="auto" w:fill="FFFFFF"/>
        </w:rPr>
        <w:t>2016年1月15日宁波市人民政府令第228号公布 自2016年3月1日起施行</w:t>
      </w:r>
      <w:r w:rsidRPr="00091FFA">
        <w:rPr>
          <w:rFonts w:ascii="楷体_GB2312" w:eastAsia="楷体_GB2312" w:hAnsi="楷体_GB2312" w:cs="楷体_GB2312" w:hint="eastAsia"/>
          <w:color w:val="333333"/>
          <w:sz w:val="32"/>
          <w:szCs w:val="32"/>
          <w:shd w:val="clear" w:color="auto" w:fill="FFFFFF"/>
        </w:rPr>
        <w:t>）</w:t>
      </w:r>
    </w:p>
    <w:p w14:paraId="442F7950" w14:textId="77777777" w:rsidR="001A2C75" w:rsidRPr="001A2C75" w:rsidRDefault="001A2C75" w:rsidP="001A2C75">
      <w:pPr>
        <w:pStyle w:val="a0"/>
      </w:pPr>
    </w:p>
    <w:bookmarkEnd w:id="0"/>
    <w:p w14:paraId="6895CEC4" w14:textId="77777777" w:rsidR="00B27301" w:rsidRDefault="00B27301" w:rsidP="00B27301">
      <w:pPr>
        <w:pStyle w:val="a7"/>
        <w:spacing w:before="0" w:beforeAutospacing="0" w:after="0" w:afterAutospacing="0" w:line="570" w:lineRule="atLeast"/>
        <w:ind w:firstLine="480"/>
        <w:rPr>
          <w:rFonts w:ascii="仿宋" w:eastAsia="仿宋" w:hAnsi="仿宋"/>
          <w:color w:val="333333"/>
          <w:sz w:val="32"/>
          <w:szCs w:val="32"/>
        </w:rPr>
      </w:pPr>
      <w:r>
        <w:rPr>
          <w:rStyle w:val="text-tag"/>
          <w:rFonts w:ascii="黑体" w:eastAsia="黑体" w:hAnsi="黑体" w:hint="eastAsia"/>
          <w:color w:val="333333"/>
          <w:sz w:val="32"/>
          <w:szCs w:val="32"/>
          <w:bdr w:val="none" w:sz="0" w:space="0" w:color="auto" w:frame="1"/>
        </w:rPr>
        <w:t>第一条</w:t>
      </w:r>
      <w:r>
        <w:rPr>
          <w:rFonts w:ascii="Calibri" w:eastAsia="仿宋" w:hAnsi="Calibri" w:cs="Calibri"/>
          <w:color w:val="333333"/>
          <w:sz w:val="32"/>
          <w:szCs w:val="32"/>
        </w:rPr>
        <w:t>  </w:t>
      </w:r>
      <w:r>
        <w:rPr>
          <w:rFonts w:ascii="仿宋" w:eastAsia="仿宋" w:hAnsi="仿宋" w:hint="eastAsia"/>
          <w:color w:val="333333"/>
          <w:sz w:val="32"/>
          <w:szCs w:val="32"/>
        </w:rPr>
        <w:t>为加强居住房屋租赁管理，保护当事人的合法权益，维护公共秩序和公共安全,根据《浙江省流动人口居住登记条例》《浙江省消防条例》、《浙江省居住房屋出租登记管理办法》和其他有关规定，结合本市实际，制定本规定。</w:t>
      </w:r>
    </w:p>
    <w:p w14:paraId="562A1124"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第二条</w:t>
      </w:r>
      <w:r>
        <w:rPr>
          <w:rFonts w:ascii="Calibri" w:eastAsia="仿宋" w:hAnsi="Calibri" w:cs="Calibri"/>
          <w:color w:val="333333"/>
          <w:sz w:val="32"/>
          <w:szCs w:val="32"/>
        </w:rPr>
        <w:t> </w:t>
      </w:r>
      <w:r>
        <w:rPr>
          <w:rFonts w:ascii="仿宋" w:eastAsia="仿宋" w:hAnsi="仿宋" w:hint="eastAsia"/>
          <w:color w:val="333333"/>
          <w:sz w:val="32"/>
          <w:szCs w:val="32"/>
        </w:rPr>
        <w:t xml:space="preserve"> 本规定适用于本市行政区域内居住房屋的租赁及其相关监督管理活动。</w:t>
      </w:r>
    </w:p>
    <w:p w14:paraId="26E0670C"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本规定所称的居住房屋，是指出租后用作或者兼用作居住的房屋，不包括旅馆业客房、学校和企业的自建宿舍及公共租赁住房。</w:t>
      </w:r>
    </w:p>
    <w:p w14:paraId="09DE1074"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前款所称的出租，是指出租人将房屋交付承租人居住使用，并由承租人支付或者变相支付租金的行为。</w:t>
      </w:r>
    </w:p>
    <w:p w14:paraId="2729E47F"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第三条</w:t>
      </w:r>
      <w:r>
        <w:rPr>
          <w:rFonts w:ascii="Calibri" w:eastAsia="仿宋" w:hAnsi="Calibri" w:cs="Calibri"/>
          <w:color w:val="333333"/>
          <w:sz w:val="32"/>
          <w:szCs w:val="32"/>
        </w:rPr>
        <w:t>  </w:t>
      </w:r>
      <w:r>
        <w:rPr>
          <w:rFonts w:ascii="仿宋" w:eastAsia="仿宋" w:hAnsi="仿宋" w:hint="eastAsia"/>
          <w:color w:val="333333"/>
          <w:sz w:val="32"/>
          <w:szCs w:val="32"/>
        </w:rPr>
        <w:t>市、县（市）区人民政府应当加强对居住房屋租赁管理的组织领导，整合人口综合信息、房屋租赁等各类行政管理和</w:t>
      </w:r>
      <w:r>
        <w:rPr>
          <w:rFonts w:ascii="仿宋" w:eastAsia="仿宋" w:hAnsi="仿宋" w:hint="eastAsia"/>
          <w:color w:val="333333"/>
          <w:sz w:val="32"/>
          <w:szCs w:val="32"/>
        </w:rPr>
        <w:lastRenderedPageBreak/>
        <w:t>公共服务信息资源，纳入统一的政务服务信息平台，实现政务信息共享利用。</w:t>
      </w:r>
    </w:p>
    <w:p w14:paraId="0D2F9203"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县（市）区人民政府以及镇（乡）人民政府、街道办事处应当设立或者明确居住房屋租赁管理综合协调工作机构，将居住房屋租赁管理纳入目标管理责任制。</w:t>
      </w:r>
    </w:p>
    <w:p w14:paraId="75014791"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第四条</w:t>
      </w:r>
      <w:r>
        <w:rPr>
          <w:rFonts w:ascii="Calibri" w:eastAsia="仿宋" w:hAnsi="Calibri" w:cs="Calibri"/>
          <w:color w:val="333333"/>
          <w:sz w:val="32"/>
          <w:szCs w:val="32"/>
        </w:rPr>
        <w:t> </w:t>
      </w:r>
      <w:r>
        <w:rPr>
          <w:rFonts w:ascii="仿宋" w:eastAsia="仿宋" w:hAnsi="仿宋" w:hint="eastAsia"/>
          <w:color w:val="333333"/>
          <w:sz w:val="32"/>
          <w:szCs w:val="32"/>
        </w:rPr>
        <w:t xml:space="preserve"> 公安机关负责居住房屋的治安、消防管理和居住房屋中人员的登记工作。</w:t>
      </w:r>
    </w:p>
    <w:p w14:paraId="4D2374A5"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住房和城乡建设行政主管部门负责居住房屋的房屋使用安全、租赁合同备案、房地产经纪、物业监督管理等工作。</w:t>
      </w:r>
    </w:p>
    <w:p w14:paraId="643EB83A"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市场监督管理主管部门负责依法查处利用居住房屋进行无照经营等违法经营行为。</w:t>
      </w:r>
    </w:p>
    <w:p w14:paraId="552E848D"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国土资源行政主管部门负责依法查处非法占用集体土地建设居住房屋行为。</w:t>
      </w:r>
    </w:p>
    <w:p w14:paraId="749FFC3F"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城乡规划主管部门负责依法查处除本条第六款外的居住房屋违反城乡规划法律法规的行为。</w:t>
      </w:r>
    </w:p>
    <w:p w14:paraId="389CF3B9"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镇（乡）人民政府负责依法查处位于乡、村庄规划区内的居住房屋未依法取得乡村建设规划许可证或者未按照乡村建设规划许可证的规定进行建设的行为。</w:t>
      </w:r>
    </w:p>
    <w:p w14:paraId="783EDD57"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交通、水利等部门负责依法查处居住房屋违反交通、水利等法律法规规章的行为。</w:t>
      </w:r>
    </w:p>
    <w:p w14:paraId="1EBE4A58"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电力、燃气管理部门负责居住房屋的电力、燃气的供应与使用的监督管理工作。</w:t>
      </w:r>
    </w:p>
    <w:p w14:paraId="0536CFA3"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安全生产监督、城管执法等部门应当按照各自法定职责，做好居住房屋租赁管理的相关工作。</w:t>
      </w:r>
    </w:p>
    <w:p w14:paraId="22C86680"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第五条</w:t>
      </w:r>
      <w:r>
        <w:rPr>
          <w:rFonts w:ascii="Calibri" w:eastAsia="仿宋" w:hAnsi="Calibri" w:cs="Calibri"/>
          <w:color w:val="333333"/>
          <w:sz w:val="32"/>
          <w:szCs w:val="32"/>
        </w:rPr>
        <w:t> </w:t>
      </w:r>
      <w:r>
        <w:rPr>
          <w:rFonts w:ascii="仿宋" w:eastAsia="仿宋" w:hAnsi="仿宋" w:hint="eastAsia"/>
          <w:color w:val="333333"/>
          <w:sz w:val="32"/>
          <w:szCs w:val="32"/>
        </w:rPr>
        <w:t xml:space="preserve"> 市和县（市）区人民政府应当根据实际需要，组织公安、住房和城乡建设等有关行政主管部门建立联合办公、联合执法制度。</w:t>
      </w:r>
    </w:p>
    <w:p w14:paraId="7D10FE82"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公安、住房和城乡建设、市场监督管理、国土资源、城乡规划、安全监督、城管执法等部门，在执法中发现属于其他有关部门负责查处的违法行为的，应当及时告知有关部门依法查处。</w:t>
      </w:r>
    </w:p>
    <w:p w14:paraId="1000C268"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第六条</w:t>
      </w:r>
      <w:r>
        <w:rPr>
          <w:rFonts w:ascii="Calibri" w:eastAsia="仿宋" w:hAnsi="Calibri" w:cs="Calibri"/>
          <w:color w:val="333333"/>
          <w:sz w:val="32"/>
          <w:szCs w:val="32"/>
        </w:rPr>
        <w:t> </w:t>
      </w:r>
      <w:r>
        <w:rPr>
          <w:rFonts w:ascii="仿宋" w:eastAsia="仿宋" w:hAnsi="仿宋" w:hint="eastAsia"/>
          <w:color w:val="333333"/>
          <w:sz w:val="32"/>
          <w:szCs w:val="32"/>
        </w:rPr>
        <w:t xml:space="preserve"> 县（市）区人民政府应当将居住房屋租赁管理纳入网格化管理工作，设置网格工作事项清单，明确相关职能部门以及镇(乡)人民政府、街道办事处的职责分工、信息收集报送、处置流程时限以及监管边界界定等事项。</w:t>
      </w:r>
    </w:p>
    <w:p w14:paraId="082EC8F5"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县（市）区人民政府应当完善考核和监督制度，创新监督检查方式，督促相关职能部门及镇(乡)人民政府、街道办事处规范履行职责。</w:t>
      </w:r>
    </w:p>
    <w:p w14:paraId="05E002D3"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第七条</w:t>
      </w:r>
      <w:r>
        <w:rPr>
          <w:rFonts w:ascii="Calibri" w:eastAsia="仿宋" w:hAnsi="Calibri" w:cs="Calibri"/>
          <w:color w:val="333333"/>
          <w:sz w:val="32"/>
          <w:szCs w:val="32"/>
        </w:rPr>
        <w:t>  </w:t>
      </w:r>
      <w:r>
        <w:rPr>
          <w:rFonts w:ascii="仿宋" w:eastAsia="仿宋" w:hAnsi="仿宋" w:hint="eastAsia"/>
          <w:color w:val="333333"/>
          <w:sz w:val="32"/>
          <w:szCs w:val="32"/>
        </w:rPr>
        <w:t>任何单位和个人都有权对违反本规定的行为以及有关职能部门及其工作人员不依法履行职责的行为进行举报。</w:t>
      </w:r>
    </w:p>
    <w:p w14:paraId="7DD90562"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市人民政府设立12345政务服务热线，统一受理举报投诉，并按职责划分移交相关职能部门处理。有关部门接到举报后，应当依法及时处理，按照有关规定将处理结果向举报人反馈，并为举报人保密。</w:t>
      </w:r>
    </w:p>
    <w:p w14:paraId="09B06B4E"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市和县（市）区人民政府应当建立举报奖励制度，促进社会公众参与居住出租房屋的监督管理。</w:t>
      </w:r>
    </w:p>
    <w:p w14:paraId="501135A0"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第八条</w:t>
      </w:r>
      <w:r>
        <w:rPr>
          <w:rFonts w:ascii="Calibri" w:eastAsia="仿宋" w:hAnsi="Calibri" w:cs="Calibri"/>
          <w:color w:val="333333"/>
          <w:sz w:val="32"/>
          <w:szCs w:val="32"/>
        </w:rPr>
        <w:t> </w:t>
      </w:r>
      <w:r>
        <w:rPr>
          <w:rFonts w:ascii="仿宋" w:eastAsia="仿宋" w:hAnsi="仿宋" w:hint="eastAsia"/>
          <w:color w:val="333333"/>
          <w:sz w:val="32"/>
          <w:szCs w:val="32"/>
        </w:rPr>
        <w:t xml:space="preserve"> 镇（乡）人民政府、街道办事处应当建立并落实居住房屋租赁监督管理的常态化、网格化管理制度，建立居住房屋基本信息的排查、收集和报送制度，协调处理居住房屋租赁纠纷，组织排查居住房屋租赁中的各种安全隐患。</w:t>
      </w:r>
    </w:p>
    <w:p w14:paraId="3F430DFF"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镇（乡）人民政府、街道办事处应当整合有关职能部门在基层的办事机构以及各类协助管理人员等辅助人力资源，开展居住房屋租赁管理相关工作。</w:t>
      </w:r>
    </w:p>
    <w:p w14:paraId="0A7CC56F"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第九条</w:t>
      </w:r>
      <w:r>
        <w:rPr>
          <w:rFonts w:ascii="Calibri" w:eastAsia="仿宋" w:hAnsi="Calibri" w:cs="Calibri"/>
          <w:color w:val="333333"/>
          <w:sz w:val="32"/>
          <w:szCs w:val="32"/>
        </w:rPr>
        <w:t>  </w:t>
      </w:r>
      <w:r>
        <w:rPr>
          <w:rFonts w:ascii="仿宋" w:eastAsia="仿宋" w:hAnsi="仿宋" w:hint="eastAsia"/>
          <w:color w:val="333333"/>
          <w:sz w:val="32"/>
          <w:szCs w:val="32"/>
        </w:rPr>
        <w:t>社区居民委员会、村民委员会、业主委员会、房地产经纪机构、物业服务企业等，应当配合有关职能部门以及镇（乡）人民政府、街道办事处做好居住房屋租赁管理的相关工作。</w:t>
      </w:r>
    </w:p>
    <w:p w14:paraId="6FAEE5F9"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居民委员会、村民委员会可以根据本社区或者本村实际情况，组织制定居住房屋租赁的管理公约或者将相关内容纳入社区公约、村规民约，对居住房屋出租实行自治管理。</w:t>
      </w:r>
    </w:p>
    <w:p w14:paraId="23B97992"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业主委员会经业主大会同意后，可以将房屋租赁管理相关规定纳入小区管理规约，并可以委托物业服务企业具体实施。物业服务企业发现违法行为的，应当及时劝阻；劝阻无效的，应当及时报告有关职能部门或者镇（乡）人民政府、街道办事处。</w:t>
      </w:r>
    </w:p>
    <w:p w14:paraId="1D79901C"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第十条</w:t>
      </w:r>
      <w:r>
        <w:rPr>
          <w:rFonts w:ascii="Calibri" w:eastAsia="仿宋" w:hAnsi="Calibri" w:cs="Calibri"/>
          <w:color w:val="333333"/>
          <w:sz w:val="32"/>
          <w:szCs w:val="32"/>
        </w:rPr>
        <w:t> </w:t>
      </w:r>
      <w:r>
        <w:rPr>
          <w:rFonts w:ascii="仿宋" w:eastAsia="仿宋" w:hAnsi="仿宋" w:hint="eastAsia"/>
          <w:color w:val="333333"/>
          <w:sz w:val="32"/>
          <w:szCs w:val="32"/>
        </w:rPr>
        <w:t xml:space="preserve"> 电力管理部门和燃气管理部门应当定期对居住房屋的用电、用气安全情况进行检查，发现安全隐患的，应当通知用户及时采取措施消除隐患；不及时消除隐患可能严重威胁公共安全的，有关部门可以依法采取停止供电、供气等必要措施。</w:t>
      </w:r>
    </w:p>
    <w:p w14:paraId="5B9A533E"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第十一条</w:t>
      </w:r>
      <w:r>
        <w:rPr>
          <w:rFonts w:ascii="仿宋" w:eastAsia="仿宋" w:hAnsi="仿宋" w:hint="eastAsia"/>
          <w:color w:val="333333"/>
          <w:sz w:val="32"/>
          <w:szCs w:val="32"/>
        </w:rPr>
        <w:t xml:space="preserve">　居住房屋租赁应当具备基本居住功能并符合建筑、消防等安全要求。有下列情形之一的，不得作为居住房屋出租：</w:t>
      </w:r>
    </w:p>
    <w:p w14:paraId="4A785FE4"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（一）属于违法建筑的；</w:t>
      </w:r>
    </w:p>
    <w:p w14:paraId="07039D07"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（二）擅自改变房屋用途的；</w:t>
      </w:r>
    </w:p>
    <w:p w14:paraId="30ABB7F0"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（三）未依照规定采取安全防范措施、解危处置措施的危险房屋；</w:t>
      </w:r>
    </w:p>
    <w:p w14:paraId="46BC33F9"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（四）居住场所与生产、储存、经营易燃易爆危险品的场所设置在同一建筑物内的,或者居住场所与生产、储存、经营其他物品的场所设置在同一建筑物内，不符合消防技术标准的；</w:t>
      </w:r>
    </w:p>
    <w:p w14:paraId="3D22C3BB"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（五）法律、法规、规章规定不得出租的其他情形。</w:t>
      </w:r>
    </w:p>
    <w:p w14:paraId="79BBA277"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居住房屋是否属于前款第一、二项规定的情形，由当地的城乡规划主管部门、镇（乡）人民政府或者其他相关职能部门依据职责分别予以认定。</w:t>
      </w:r>
    </w:p>
    <w:p w14:paraId="2E549EA6"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第十二条</w:t>
      </w:r>
      <w:r>
        <w:rPr>
          <w:rFonts w:ascii="Calibri" w:eastAsia="仿宋" w:hAnsi="Calibri" w:cs="Calibri"/>
          <w:color w:val="333333"/>
          <w:sz w:val="32"/>
          <w:szCs w:val="32"/>
        </w:rPr>
        <w:t> </w:t>
      </w:r>
      <w:r>
        <w:rPr>
          <w:rFonts w:ascii="仿宋" w:eastAsia="仿宋" w:hAnsi="仿宋" w:hint="eastAsia"/>
          <w:color w:val="333333"/>
          <w:sz w:val="32"/>
          <w:szCs w:val="32"/>
        </w:rPr>
        <w:t xml:space="preserve"> 居住房屋用于出租的，应当以一间原始设计为卧室或者起居室（以下统称为居室）为最小出租单位，居室内不得分隔搭建后出租。</w:t>
      </w:r>
    </w:p>
    <w:p w14:paraId="7F572409"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除未成年人外，居住人员人均租住房屋建筑面积不得低于10平方米。</w:t>
      </w:r>
    </w:p>
    <w:p w14:paraId="4D0E7663"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原始设计为餐厅、厨房、卫生间、阳台、过厅、过道、贮藏室、杂物间、地下室、半地下室、架空层、车库、车棚等其他非居住空间的，不得出租</w:t>
      </w:r>
      <w:proofErr w:type="gramStart"/>
      <w:r>
        <w:rPr>
          <w:rFonts w:ascii="仿宋" w:eastAsia="仿宋" w:hAnsi="仿宋" w:hint="eastAsia"/>
          <w:color w:val="333333"/>
          <w:sz w:val="32"/>
          <w:szCs w:val="32"/>
        </w:rPr>
        <w:t>供人员</w:t>
      </w:r>
      <w:proofErr w:type="gramEnd"/>
      <w:r>
        <w:rPr>
          <w:rFonts w:ascii="仿宋" w:eastAsia="仿宋" w:hAnsi="仿宋" w:hint="eastAsia"/>
          <w:color w:val="333333"/>
          <w:sz w:val="32"/>
          <w:szCs w:val="32"/>
        </w:rPr>
        <w:t>居住。</w:t>
      </w:r>
    </w:p>
    <w:p w14:paraId="3EE09D64"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集中出租房屋供他人居住，出租房间达到10间及10间以上的，或者居住使用人达到15人以上的，出租人应当建立相应的管理制度，确定管理人员，落实安全管理职责，建立信</w:t>
      </w:r>
      <w:r>
        <w:rPr>
          <w:rFonts w:ascii="仿宋" w:eastAsia="仿宋" w:hAnsi="仿宋" w:hint="eastAsia"/>
          <w:color w:val="333333"/>
          <w:sz w:val="32"/>
          <w:szCs w:val="32"/>
        </w:rPr>
        <w:lastRenderedPageBreak/>
        <w:t>息登记簿或者登记系统，并将相关登记信息报所在地公安机关备案。</w:t>
      </w:r>
    </w:p>
    <w:p w14:paraId="4A02CE9C"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出租人不能履行前款规定的相关义务的，应当委托房地产经纪机构等单位或者个人进行管理。</w:t>
      </w:r>
    </w:p>
    <w:p w14:paraId="68BD02DF"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房地产经纪机构等单位或者个人接受出租人委托的，应当在其受委托范围内履行出租人的规定义务并承担相应的法律责任。</w:t>
      </w:r>
    </w:p>
    <w:p w14:paraId="36241ACD"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居住房屋所有权人是消防安全和房屋使用安全的第一责任人，依法履行出租房屋的消防安全和使用安全责任。承租人未征得所有权人同意，擅自违反规定转租房屋的，应当依法承担消防安全和房屋使用安全的连带责任。</w:t>
      </w:r>
    </w:p>
    <w:p w14:paraId="2224F2A1"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承租人应当合理、安全使用房屋及相关设施、设备，不得擅自改变房屋使用性质、结构或者实施其他违反</w:t>
      </w:r>
      <w:proofErr w:type="gramStart"/>
      <w:r>
        <w:rPr>
          <w:rFonts w:ascii="仿宋" w:eastAsia="仿宋" w:hAnsi="仿宋" w:hint="eastAsia"/>
          <w:color w:val="333333"/>
          <w:sz w:val="32"/>
          <w:szCs w:val="32"/>
        </w:rPr>
        <w:t>房屋消防</w:t>
      </w:r>
      <w:proofErr w:type="gramEnd"/>
      <w:r>
        <w:rPr>
          <w:rFonts w:ascii="仿宋" w:eastAsia="仿宋" w:hAnsi="仿宋" w:hint="eastAsia"/>
          <w:color w:val="333333"/>
          <w:sz w:val="32"/>
          <w:szCs w:val="32"/>
        </w:rPr>
        <w:t>安全和使用安全的行为。</w:t>
      </w:r>
    </w:p>
    <w:p w14:paraId="7E7CE140"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第十五条</w:t>
      </w:r>
      <w:r>
        <w:rPr>
          <w:rFonts w:ascii="仿宋" w:eastAsia="仿宋" w:hAnsi="仿宋" w:hint="eastAsia"/>
          <w:color w:val="333333"/>
          <w:sz w:val="32"/>
          <w:szCs w:val="32"/>
        </w:rPr>
        <w:t xml:space="preserve">　居住房屋的租赁当事人应当依法订立租赁合同，并按照规定履行合同备案义务。</w:t>
      </w:r>
    </w:p>
    <w:p w14:paraId="17DA617E"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承租人可以按照租赁合同的约定转租房屋；租赁合同中未作约定的，承租人转租房屋应当事先征得出租人的书面同意。转租居住房屋的，也应当遵循第十一条至第十四条的规定。</w:t>
      </w:r>
    </w:p>
    <w:p w14:paraId="2FDAE163"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市住房和城乡建设行政主管部门应当制定房屋租赁合同示范文本，并通过官方网站予以公布，供当事人下载选用。</w:t>
      </w:r>
    </w:p>
    <w:p w14:paraId="7B0558CB"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市住房和城乡建设行政主管部门应当会同市公安机关推进建设租赁合同登记备案信息系统，为租赁当事人网上登记备案提供便利。</w:t>
      </w:r>
    </w:p>
    <w:p w14:paraId="172C6F0A"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第十六条</w:t>
      </w:r>
      <w:r>
        <w:rPr>
          <w:rFonts w:ascii="仿宋" w:eastAsia="仿宋" w:hAnsi="仿宋" w:hint="eastAsia"/>
          <w:color w:val="333333"/>
          <w:sz w:val="32"/>
          <w:szCs w:val="32"/>
        </w:rPr>
        <w:t xml:space="preserve">　房地产经纪机构和房地产经纪人员应当遵守有关房屋出租管理的规定，向租赁当事人宣传房屋租赁、人口服务和管理等政策，并引导租赁当事人使用租赁合同示范文本。</w:t>
      </w:r>
    </w:p>
    <w:p w14:paraId="1EAC9FE3"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房地产经纪机构和房地产经纪人员在居间、代理居住房屋租赁业务时，应当主动询问和查询房屋相关信息，不得居间、代理具有下列情形之一的居住房屋租赁业务：</w:t>
      </w:r>
    </w:p>
    <w:p w14:paraId="5F7E855B"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（一）无房屋所有权证或者其他合法权属证明的；</w:t>
      </w:r>
    </w:p>
    <w:p w14:paraId="13CECF40"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（二）公共租赁住房或者未取得完全产权的保障性住房；</w:t>
      </w:r>
    </w:p>
    <w:p w14:paraId="7FF17FE5"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（三）改变房屋内部主体和承重结构分割出租的；</w:t>
      </w:r>
    </w:p>
    <w:p w14:paraId="6EC4767D"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（四）法律、法规、规章规定的不得出租的其他情形。</w:t>
      </w:r>
    </w:p>
    <w:p w14:paraId="020294D2"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第十七条</w:t>
      </w:r>
      <w:r>
        <w:rPr>
          <w:rFonts w:ascii="仿宋" w:eastAsia="仿宋" w:hAnsi="仿宋" w:hint="eastAsia"/>
          <w:color w:val="333333"/>
          <w:sz w:val="32"/>
          <w:szCs w:val="32"/>
        </w:rPr>
        <w:t xml:space="preserve">　鼓励居民、经营机构将多余的居住房屋出租或者通过长期租赁、购买社会房源用于出租；房地产开发企业也可以将持有的房源面向社会出租。</w:t>
      </w:r>
    </w:p>
    <w:p w14:paraId="3813F60F"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lastRenderedPageBreak/>
        <w:t>开发园区管理机构、企业可以通过建造集体宿舍或者向社会租赁、购买居住房屋等方式解决企业员工的居住问题，县（市）区人民政府可以制定相应的扶持政策。</w:t>
      </w:r>
    </w:p>
    <w:p w14:paraId="70D37903"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第十八条</w:t>
      </w:r>
      <w:r>
        <w:rPr>
          <w:rFonts w:ascii="仿宋" w:eastAsia="仿宋" w:hAnsi="仿宋" w:hint="eastAsia"/>
          <w:color w:val="333333"/>
          <w:sz w:val="32"/>
          <w:szCs w:val="32"/>
        </w:rPr>
        <w:t xml:space="preserve">　对违反本规定的行为，相关法律、法规、规章已有法律责任规定的，从其规定。</w:t>
      </w:r>
    </w:p>
    <w:p w14:paraId="7BD65794"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第十九条</w:t>
      </w:r>
      <w:r>
        <w:rPr>
          <w:rFonts w:ascii="Calibri" w:eastAsia="仿宋" w:hAnsi="Calibri" w:cs="Calibri"/>
          <w:color w:val="333333"/>
          <w:sz w:val="32"/>
          <w:szCs w:val="32"/>
        </w:rPr>
        <w:t> </w:t>
      </w:r>
      <w:r>
        <w:rPr>
          <w:rFonts w:ascii="仿宋" w:eastAsia="仿宋" w:hAnsi="仿宋" w:hint="eastAsia"/>
          <w:color w:val="333333"/>
          <w:sz w:val="32"/>
          <w:szCs w:val="32"/>
        </w:rPr>
        <w:t xml:space="preserve"> 出租人违反第十一条第一款第一项、第二项规定，擅自出租房屋的，由房屋所在地县（市）区住房和城乡建设行政主管部门责令限期改正，处以500元以上5000元以下罚款；情节严重的，处5000元以上3万元以下的罚款。</w:t>
      </w:r>
    </w:p>
    <w:p w14:paraId="68EAD3C1"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出租人违反第十一条第一款规定，将经依法鉴定不符合建筑安全要求的房屋出租的，由房屋所在地县（市）区住房和城乡建设行政主管部门依据《浙江省居住房屋出租登记管理办法》的相关规定予以处理；其中将位于国有土地上，未采取安全防范措施、解危处置措施的危险房屋出租的，由房屋所在地县（市）区住房和城乡建设行政主管部门依据《宁波市城市房屋使用安全管理条例》的相关规定予以处理。</w:t>
      </w:r>
    </w:p>
    <w:p w14:paraId="13CA9138" w14:textId="77777777" w:rsidR="00B27301" w:rsidRDefault="00B27301" w:rsidP="00B27301">
      <w:pPr>
        <w:pStyle w:val="text-tag1"/>
        <w:spacing w:before="0" w:beforeAutospacing="0" w:after="0" w:afterAutospacing="0" w:line="570" w:lineRule="atLeast"/>
        <w:ind w:firstLine="640"/>
        <w:rPr>
          <w:rFonts w:ascii="仿宋" w:eastAsia="仿宋" w:hAnsi="仿宋" w:hint="eastAsia"/>
          <w:color w:val="333333"/>
          <w:sz w:val="32"/>
          <w:szCs w:val="32"/>
        </w:rPr>
      </w:pPr>
      <w:r>
        <w:rPr>
          <w:rFonts w:ascii="仿宋" w:eastAsia="仿宋" w:hAnsi="仿宋" w:hint="eastAsia"/>
          <w:color w:val="333333"/>
          <w:sz w:val="32"/>
          <w:szCs w:val="32"/>
        </w:rPr>
        <w:t>违反第十一条第一款规定的，将不符合消防安全要求的房屋出租的，由公安机关消防机构依据消防安全管理的相关法律法规规章予以处理。</w:t>
      </w:r>
    </w:p>
    <w:p w14:paraId="5D31DFB8"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lastRenderedPageBreak/>
        <w:t>第二十条</w:t>
      </w:r>
      <w:r>
        <w:rPr>
          <w:rFonts w:ascii="仿宋" w:eastAsia="仿宋" w:hAnsi="仿宋" w:hint="eastAsia"/>
          <w:color w:val="333333"/>
          <w:sz w:val="32"/>
          <w:szCs w:val="32"/>
        </w:rPr>
        <w:t xml:space="preserve">　出租人违反第十二条规定，不按要求出租居住房屋供他人居住的，由公安机关责令限期改正；逾期不改正的，处5000元以上3万元以下罚款。</w:t>
      </w:r>
    </w:p>
    <w:p w14:paraId="5D606F88"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第二十一条</w:t>
      </w:r>
      <w:r>
        <w:rPr>
          <w:rFonts w:ascii="Calibri" w:eastAsia="仿宋" w:hAnsi="Calibri" w:cs="Calibri"/>
          <w:color w:val="333333"/>
          <w:sz w:val="32"/>
          <w:szCs w:val="32"/>
        </w:rPr>
        <w:t> </w:t>
      </w:r>
      <w:r>
        <w:rPr>
          <w:rFonts w:ascii="仿宋" w:eastAsia="仿宋" w:hAnsi="仿宋" w:hint="eastAsia"/>
          <w:color w:val="333333"/>
          <w:sz w:val="32"/>
          <w:szCs w:val="32"/>
        </w:rPr>
        <w:t xml:space="preserve"> 违反第十三条规定，出租人未履行相关管理职责的，由公安机关责令限期改正；逾期不改正的，处200元以上500元以下罚款。</w:t>
      </w:r>
    </w:p>
    <w:p w14:paraId="57A39E81"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第二十二条</w:t>
      </w:r>
      <w:r>
        <w:rPr>
          <w:rFonts w:ascii="仿宋" w:eastAsia="仿宋" w:hAnsi="仿宋" w:hint="eastAsia"/>
          <w:color w:val="333333"/>
          <w:sz w:val="32"/>
          <w:szCs w:val="32"/>
        </w:rPr>
        <w:t xml:space="preserve">　违反第十六条规定，房地产经纪机构和房地产经纪人员居间、代理不符合本规定的居住房屋租赁业务的，由房屋所在地县（市）区住房和城乡建设行政主管部门责令限期改正，并可以对房地产经纪人员处1万元罚款，对房地产经纪机构处3万元罚款。</w:t>
      </w:r>
    </w:p>
    <w:p w14:paraId="3B049C7F"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第二十三条</w:t>
      </w:r>
      <w:r>
        <w:rPr>
          <w:rFonts w:ascii="Calibri" w:eastAsia="仿宋" w:hAnsi="Calibri" w:cs="Calibri"/>
          <w:color w:val="333333"/>
          <w:sz w:val="32"/>
          <w:szCs w:val="32"/>
        </w:rPr>
        <w:t> </w:t>
      </w:r>
      <w:r>
        <w:rPr>
          <w:rFonts w:ascii="仿宋" w:eastAsia="仿宋" w:hAnsi="仿宋" w:hint="eastAsia"/>
          <w:color w:val="333333"/>
          <w:sz w:val="32"/>
          <w:szCs w:val="32"/>
        </w:rPr>
        <w:t xml:space="preserve"> 居住房屋出租人、承租人、房地产经纪机构和房地产经纪人员等单位和个人，违反居住房屋租赁管理相关法律、法规、规章和本规定行为的不良信用信息，由相关管理部门予以记录，并可以按照有关规定纳入本市公共信用信息数据库。</w:t>
      </w:r>
    </w:p>
    <w:p w14:paraId="3AF4819D"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第二十四条</w:t>
      </w:r>
      <w:r>
        <w:rPr>
          <w:rFonts w:ascii="Calibri" w:eastAsia="仿宋" w:hAnsi="Calibri" w:cs="Calibri"/>
          <w:color w:val="333333"/>
          <w:sz w:val="32"/>
          <w:szCs w:val="32"/>
        </w:rPr>
        <w:t> </w:t>
      </w:r>
      <w:r>
        <w:rPr>
          <w:rFonts w:ascii="仿宋" w:eastAsia="仿宋" w:hAnsi="仿宋" w:hint="eastAsia"/>
          <w:color w:val="333333"/>
          <w:sz w:val="32"/>
          <w:szCs w:val="32"/>
        </w:rPr>
        <w:t xml:space="preserve"> 履行居住房屋租赁管理监督职责的部门及其相关工作人员违反本规定，不履行、拖延履行管理监督职责或者滥用职权、徇私舞弊的，由所在单位或者其他有权机关责令改正，</w:t>
      </w:r>
      <w:r>
        <w:rPr>
          <w:rFonts w:ascii="仿宋" w:eastAsia="仿宋" w:hAnsi="仿宋" w:hint="eastAsia"/>
          <w:color w:val="333333"/>
          <w:sz w:val="32"/>
          <w:szCs w:val="32"/>
        </w:rPr>
        <w:lastRenderedPageBreak/>
        <w:t>对直接负责的主管人员和其他直接责任人员依法给予行政处分；构成犯罪的，依法追究刑事责任。</w:t>
      </w:r>
    </w:p>
    <w:p w14:paraId="511D36D5" w14:textId="77777777" w:rsidR="00B27301" w:rsidRDefault="00B27301" w:rsidP="00B27301">
      <w:pPr>
        <w:pStyle w:val="a7"/>
        <w:spacing w:before="0" w:beforeAutospacing="0" w:after="0" w:afterAutospacing="0" w:line="570" w:lineRule="atLeast"/>
        <w:ind w:firstLine="480"/>
        <w:rPr>
          <w:rFonts w:ascii="仿宋" w:eastAsia="仿宋" w:hAnsi="仿宋" w:hint="eastAsia"/>
          <w:color w:val="333333"/>
          <w:sz w:val="32"/>
          <w:szCs w:val="32"/>
        </w:rPr>
      </w:pPr>
      <w:r>
        <w:rPr>
          <w:rStyle w:val="text-tag"/>
          <w:rFonts w:ascii="黑体" w:eastAsia="黑体" w:hAnsi="黑体" w:hint="eastAsia"/>
          <w:color w:val="333333"/>
          <w:sz w:val="32"/>
          <w:szCs w:val="32"/>
          <w:bdr w:val="none" w:sz="0" w:space="0" w:color="auto" w:frame="1"/>
        </w:rPr>
        <w:t>第二十五条</w:t>
      </w:r>
      <w:r>
        <w:rPr>
          <w:rFonts w:ascii="仿宋" w:eastAsia="仿宋" w:hAnsi="仿宋" w:hint="eastAsia"/>
          <w:color w:val="333333"/>
          <w:sz w:val="32"/>
          <w:szCs w:val="32"/>
        </w:rPr>
        <w:t xml:space="preserve">　本规定自2016年3月1日起施行。2007年4月27日宁波市人民政府令第145号发布的《宁波市车棚车库使用管理暂行规定》同时废止。</w:t>
      </w:r>
    </w:p>
    <w:p w14:paraId="295356A0" w14:textId="3192DDDB" w:rsidR="003E62A0" w:rsidRPr="00B27301" w:rsidRDefault="003E62A0" w:rsidP="007F75B8">
      <w:pPr>
        <w:pStyle w:val="a7"/>
        <w:spacing w:before="0" w:beforeAutospacing="0" w:after="0" w:afterAutospacing="0" w:line="570" w:lineRule="atLeast"/>
        <w:ind w:firstLine="480"/>
        <w:rPr>
          <w:rFonts w:ascii="仿宋" w:eastAsia="仿宋" w:hAnsi="仿宋"/>
          <w:color w:val="333333"/>
          <w:sz w:val="32"/>
          <w:szCs w:val="32"/>
        </w:rPr>
      </w:pPr>
    </w:p>
    <w:sectPr w:rsidR="003E62A0" w:rsidRPr="00B27301">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0060D1" w14:textId="77777777" w:rsidR="0079051E" w:rsidRDefault="0079051E">
      <w:r>
        <w:separator/>
      </w:r>
    </w:p>
  </w:endnote>
  <w:endnote w:type="continuationSeparator" w:id="0">
    <w:p w14:paraId="4736AD3B" w14:textId="77777777" w:rsidR="0079051E" w:rsidRDefault="00790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书宋简体">
    <w:altName w:val="宋体"/>
    <w:charset w:val="86"/>
    <w:family w:val="script"/>
    <w:pitch w:val="default"/>
    <w:sig w:usb0="00000000" w:usb1="00000000" w:usb2="00000000" w:usb3="00000000" w:csb0="00040000" w:csb1="00000000"/>
  </w:font>
  <w:font w:name="方正小标宋_GBK">
    <w:charset w:val="86"/>
    <w:family w:val="script"/>
    <w:pitch w:val="default"/>
    <w:sig w:usb0="00000001" w:usb1="080E0000" w:usb2="00000000" w:usb3="00000000" w:csb0="00040000" w:csb1="00000000"/>
  </w:font>
  <w:font w:name="楷体_GB2312">
    <w:altName w:val="微软雅黑"/>
    <w:charset w:val="00"/>
    <w:family w:val="auto"/>
    <w:pitch w:val="default"/>
  </w:font>
  <w:font w:name="方正小标宋简体">
    <w:altName w:val="微软雅黑"/>
    <w:charset w:val="86"/>
    <w:family w:val="auto"/>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A73305" w14:textId="77777777" w:rsidR="003E62A0" w:rsidRDefault="006B06D9">
    <w:pPr>
      <w:pStyle w:val="a5"/>
      <w:ind w:leftChars="2280" w:left="4788" w:firstLineChars="2000" w:firstLine="6400"/>
      <w:rPr>
        <w:rFonts w:eastAsia="仿宋"/>
        <w:sz w:val="32"/>
        <w:szCs w:val="48"/>
      </w:rPr>
    </w:pPr>
    <w:r>
      <w:rPr>
        <w:noProof/>
        <w:sz w:val="32"/>
      </w:rPr>
      <mc:AlternateContent>
        <mc:Choice Requires="wps">
          <w:drawing>
            <wp:anchor distT="0" distB="0" distL="114300" distR="114300" simplePos="0" relativeHeight="251662336" behindDoc="0" locked="0" layoutInCell="1" allowOverlap="1" wp14:anchorId="4A48864C" wp14:editId="5B54FD2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A48864C" id="_x0000_t202" coordsize="21600,21600" o:spt="202" path="m,l,21600r21600,l21600,xe">
              <v:stroke joinstyle="miter"/>
              <v:path gradientshapeok="t" o:connecttype="rect"/>
            </v:shapetype>
            <v:shape id="文本框 8" o:spid="_x0000_s1026" type="#_x0000_t202" style="position:absolute;left:0;text-align:left;margin-left:92.8pt;margin-top:0;width:2in;height:2in;z-index:251662336;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0P4YAIAAAoFAAAOAAAAZHJzL2Uyb0RvYy54bWysVE1uEzEU3iNxB8t7OmkRVRRlUoVWRUgV&#10;rSiIteOxmxG2n2W7mQkHgBuwYtM95+o5+OzJpKiwKWLjeeP3/733eX7SW8M2KsSWXM0PDyacKSep&#10;ad1NzT9+OH8x5Swm4RphyKmab1XkJ4vnz+adn6kjWpNpVGAI4uKs8zVfp+RnVRXlWlkRD8grB6Wm&#10;YEXCb7ipmiA6RLemOppMjquOQuMDSRUjbs8GJV+U+FormS61jioxU3PUlsoZyrnKZ7WYi9lNEH7d&#10;yl0Z4h+qsKJ1SLoPdSaSYLeh/SOUbWWgSDodSLIVad1KVXpAN4eTR91cr4VXpReAE/0epvj/wsp3&#10;m6vA2qbmGJQTFiO6//7t/sfP+7uvbJrh6Xycwerawy71r6nHmMf7iMvcda+DzV/0w6AH0Ns9uKpP&#10;TGan6dF0OoFKQjf+IH714O5DTG8UWZaFmgdMr4AqNhcxDaajSc7m6Lw1pkzQONbV/Pjlq0lx2GsQ&#10;3DjkyE0MxRYpbY3KEYx7rzS6LzXni7J36tQEthHYGCGlcqm0WyLBOltppH2K484+u6qyk09x3nuU&#10;zOTS3tm2jkLp91HZzeexZD3YjwgMfWcIUr/qd8NdUbPFbAMN5IhenrfA/0LEdCUC2ICZgeHpEoc2&#10;BJxpJ3G2pvDlb/fZHksKLWcd2FVzB/pzZt46LG8m4iiEUViNgru1pwTwD/FyeFlEOIRkRlEHsp9A&#10;+2XOAZVwEplqnkbxNA0Mx7Mh1XJZjEA3L9KFu/Yyhy7D9svbhB0qq5VBGZDYgQXCleXcPQ6Z0b//&#10;F6uHJ2zxCw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gYdD+GACAAAKBQAADgAAAAAAAAAAAAAAAAAuAgAAZHJzL2Uyb0RvYy54bWxQ&#10;SwECLQAUAAYACAAAACEAcarRudcAAAAFAQAADwAAAAAAAAAAAAAAAAC6BAAAZHJzL2Rvd25yZXYu&#10;eG1sUEsFBgAAAAAEAAQA8wAAAL4FAAAAAA==&#10;" filled="f" stroked="f" strokeweight=".5pt">
              <v:textbox style="mso-fit-shape-to-text:t" inset="0,0,0,0">
                <w:txbxContent>
                  <w:p w14:paraId="74EA9CB2" w14:textId="77777777" w:rsidR="003E62A0" w:rsidRDefault="006B06D9">
                    <w:pPr>
                      <w:pStyle w:val="a4"/>
                    </w:pPr>
                    <w:r>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Pr>
                        <w:rFonts w:ascii="宋体" w:eastAsia="宋体" w:hAnsi="宋体" w:cs="宋体" w:hint="eastAsia"/>
                        <w:sz w:val="28"/>
                        <w:szCs w:val="28"/>
                      </w:rPr>
                      <w:fldChar w:fldCharType="separate"/>
                    </w:r>
                    <w:r>
                      <w:rPr>
                        <w:rFonts w:ascii="宋体" w:eastAsia="宋体" w:hAnsi="宋体" w:cs="宋体" w:hint="eastAsia"/>
                        <w:sz w:val="28"/>
                        <w:szCs w:val="28"/>
                      </w:rPr>
                      <w:t>- 1 -</w:t>
                    </w:r>
                    <w:r>
                      <w:rPr>
                        <w:rFonts w:ascii="宋体" w:eastAsia="宋体" w:hAnsi="宋体" w:cs="宋体" w:hint="eastAsia"/>
                        <w:sz w:val="28"/>
                        <w:szCs w:val="28"/>
                      </w:rPr>
                      <w:fldChar w:fldCharType="end"/>
                    </w:r>
                  </w:p>
                </w:txbxContent>
              </v:textbox>
              <w10:wrap anchorx="margin"/>
            </v:shape>
          </w:pict>
        </mc:Fallback>
      </mc:AlternateContent>
    </w:r>
    <w:r>
      <w:rPr>
        <w:rFonts w:eastAsia="仿宋" w:hint="eastAsia"/>
        <w:sz w:val="32"/>
        <w:szCs w:val="48"/>
      </w:rPr>
      <w:t xml:space="preserve">  </w:t>
    </w:r>
  </w:p>
  <w:p w14:paraId="7F5D3329" w14:textId="535D9941" w:rsidR="003E62A0" w:rsidRDefault="006B06D9">
    <w:pPr>
      <w:pStyle w:val="a5"/>
      <w:wordWrap w:val="0"/>
      <w:ind w:leftChars="2280" w:left="4788" w:firstLineChars="2000" w:firstLine="6400"/>
      <w:jc w:val="right"/>
      <w:rPr>
        <w:rFonts w:ascii="宋体" w:eastAsia="宋体" w:hAnsi="宋体" w:cs="宋体"/>
        <w:b/>
        <w:bCs/>
        <w:color w:val="005192"/>
        <w:sz w:val="28"/>
        <w:szCs w:val="44"/>
      </w:rPr>
    </w:pPr>
    <w:r>
      <w:rPr>
        <w:noProof/>
        <w:sz w:val="32"/>
      </w:rPr>
      <mc:AlternateContent>
        <mc:Choice Requires="wps">
          <w:drawing>
            <wp:anchor distT="0" distB="0" distL="114300" distR="114300" simplePos="0" relativeHeight="251661312" behindDoc="0" locked="0" layoutInCell="1" allowOverlap="1" wp14:anchorId="667FCDED" wp14:editId="500BEF5D">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14A303" id="直接连接符 5"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0,5.85pt" to="442.2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R547gEAAA4EAAAOAAAAZHJzL2Uyb0RvYy54bWysU0uO1DAQ3SNxB8t7OklLaZio07OY0bBB&#10;0OJzALdT7rbkn2zTSV+CCyCxgxVL9tyG4RiUnXRmBEgIRBYVf+q9qvdsry8HrcgRfJDWtLRalJSA&#10;4baTZt/SN69vHj2hJERmOqasgZaeINDLzcMH6941sLQHqzrwBElMaHrX0kOMrimKwA+gWVhYBwY3&#10;hfWaRZz6fdF51iO7VsWyLFdFb33nvOUQAq5ej5t0k/mFAB5fCBEgEtVS7C3m6HPcpVhs1qzZe+YO&#10;kk9tsH/oQjNpsOhMdc0iI2+9/IVKS+5tsCIuuNWFFUJyyBpQTVX+pObVgTnIWtCc4Gabwv+j5c+P&#10;W09k19KaEsM0HtHt+y/f3n38/vUDxtvPn0idTOpdaDD3ymz9NAtu65PiQXid/qiFDNnY02wsDJFw&#10;XKxX1ap+jBU47lUXZaYs7rDOh/gUrCZp0FIlTZLNGnZ8FiLWw9RzSlpWhvQtXeJX57RglexupFJp&#10;M/j97kp5cmTpyMu6ulgmAUhxLw1nyuBikjUKyaN4UjAWeAkCXcHWq7FCuo8w0zLOwcRq4lUGsxNM&#10;YAszsPwzcMpPUMh39W/AMyJXtibOYC2N9b+rHodzy2LMPzsw6k4W7Gx3ykecrcFLl52bHki61ffn&#10;GX73jDc/AAAA//8DAFBLAwQUAAYACAAAACEAjI2YpNoAAAAGAQAADwAAAGRycy9kb3ducmV2Lnht&#10;bEyPzU7DMBCE70i8g7VI3KjT8BeFOBVE4gQc2sLdjd04qr22bDcJb89yguPMrGa+bTaLs2zSMY0e&#10;BaxXBTCNvVcjDgI+9683FbCUJSppPWoB3zrBpr28aGSt/IxbPe3ywKgEUy0FmJxDzXnqjXYyrXzQ&#10;SNnRRyczyThwFeVM5c7ysigeuJMj0oKRQXdG96fd2Qno3kLZmY/9HMuX9D5MtzYcT19CXF8tz0/A&#10;sl7y3zH84hM6tMR08GdUiVkB9Egmd/0IjNKqursHdiCjLIC3Df+P3/4AAAD//wMAUEsBAi0AFAAG&#10;AAgAAAAhALaDOJL+AAAA4QEAABMAAAAAAAAAAAAAAAAAAAAAAFtDb250ZW50X1R5cGVzXS54bWxQ&#10;SwECLQAUAAYACAAAACEAOP0h/9YAAACUAQAACwAAAAAAAAAAAAAAAAAvAQAAX3JlbHMvLnJlbHNQ&#10;SwECLQAUAAYACAAAACEAMMEeeO4BAAAOBAAADgAAAAAAAAAAAAAAAAAuAgAAZHJzL2Uyb0RvYy54&#10;bWxQSwECLQAUAAYACAAAACEAjI2YpNoAAAAGAQAADwAAAAAAAAAAAAAAAABIBAAAZHJzL2Rvd25y&#10;ZXYueG1sUEsFBgAAAAAEAAQA8wAAAE8FAAAAAA==&#10;" strokecolor="#005192" strokeweight="1.75pt">
              <v:stroke joinstyle="miter"/>
            </v:line>
          </w:pict>
        </mc:Fallback>
      </mc:AlternateContent>
    </w:r>
    <w:r>
      <w:rPr>
        <w:rFonts w:eastAsia="仿宋" w:hint="eastAsia"/>
        <w:sz w:val="32"/>
        <w:szCs w:val="48"/>
      </w:rPr>
      <w:t>X</w:t>
    </w:r>
    <w:r w:rsidR="00D44E0F">
      <w:rPr>
        <w:rFonts w:ascii="宋体" w:eastAsia="宋体" w:hAnsi="宋体" w:cs="宋体" w:hint="eastAsia"/>
        <w:b/>
        <w:bCs/>
        <w:color w:val="005192"/>
        <w:sz w:val="28"/>
        <w:szCs w:val="44"/>
      </w:rPr>
      <w:t>宁波市</w:t>
    </w:r>
    <w:r>
      <w:rPr>
        <w:rFonts w:ascii="宋体" w:eastAsia="宋体" w:hAnsi="宋体" w:cs="宋体" w:hint="eastAsia"/>
        <w:b/>
        <w:bCs/>
        <w:color w:val="005192"/>
        <w:sz w:val="28"/>
        <w:szCs w:val="44"/>
      </w:rPr>
      <w:t xml:space="preserve">人民政府发布     </w:t>
    </w:r>
  </w:p>
  <w:p w14:paraId="35809EC3" w14:textId="77777777" w:rsidR="003E62A0" w:rsidRDefault="003E62A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9BCE36" w14:textId="77777777" w:rsidR="0079051E" w:rsidRDefault="0079051E">
      <w:r>
        <w:separator/>
      </w:r>
    </w:p>
  </w:footnote>
  <w:footnote w:type="continuationSeparator" w:id="0">
    <w:p w14:paraId="11938FA9" w14:textId="77777777" w:rsidR="0079051E" w:rsidRDefault="007905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E5ED64" w14:textId="77777777" w:rsidR="003E62A0" w:rsidRDefault="006B06D9">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60288" behindDoc="0" locked="0" layoutInCell="1" allowOverlap="1" wp14:anchorId="0FF5C5E4" wp14:editId="62B56EA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06B20C5" id="直接连接符 4"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14:paraId="3BD0C728" w14:textId="1ACBCFC7" w:rsidR="003E62A0" w:rsidRDefault="006B06D9">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6561F62B" wp14:editId="7A2DCE19">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sidR="00D44E0F">
      <w:rPr>
        <w:rFonts w:ascii="宋体" w:eastAsia="宋体" w:hAnsi="宋体" w:cs="宋体" w:hint="eastAsia"/>
        <w:b/>
        <w:bCs/>
        <w:color w:val="005192"/>
        <w:sz w:val="32"/>
        <w:szCs w:val="32"/>
      </w:rPr>
      <w:t>宁波市</w:t>
    </w:r>
    <w:r>
      <w:rPr>
        <w:rFonts w:ascii="宋体" w:eastAsia="宋体" w:hAnsi="宋体" w:cs="宋体" w:hint="eastAsia"/>
        <w:b/>
        <w:bCs/>
        <w:color w:val="005192"/>
        <w:sz w:val="32"/>
        <w:szCs w:val="32"/>
      </w:rPr>
      <w:t>人民政府规章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C9011D9"/>
    <w:rsid w:val="00091FFA"/>
    <w:rsid w:val="001A2C75"/>
    <w:rsid w:val="003E62A0"/>
    <w:rsid w:val="003F3B92"/>
    <w:rsid w:val="00553459"/>
    <w:rsid w:val="00651D0C"/>
    <w:rsid w:val="006B06D9"/>
    <w:rsid w:val="0075498C"/>
    <w:rsid w:val="0079051E"/>
    <w:rsid w:val="007F75B8"/>
    <w:rsid w:val="00B27301"/>
    <w:rsid w:val="00D03A40"/>
    <w:rsid w:val="00D44E0F"/>
    <w:rsid w:val="00ED3908"/>
    <w:rsid w:val="00EF35E2"/>
    <w:rsid w:val="019E71BD"/>
    <w:rsid w:val="06A67E67"/>
    <w:rsid w:val="080F63D8"/>
    <w:rsid w:val="09341458"/>
    <w:rsid w:val="152D2DCA"/>
    <w:rsid w:val="22440422"/>
    <w:rsid w:val="31A15F24"/>
    <w:rsid w:val="39A232A0"/>
    <w:rsid w:val="3B5A6BBB"/>
    <w:rsid w:val="3EDA13A6"/>
    <w:rsid w:val="42F058B7"/>
    <w:rsid w:val="436109F6"/>
    <w:rsid w:val="441A38D4"/>
    <w:rsid w:val="4BC77339"/>
    <w:rsid w:val="4C9236C5"/>
    <w:rsid w:val="52446A29"/>
    <w:rsid w:val="52F46F0B"/>
    <w:rsid w:val="55E064E0"/>
    <w:rsid w:val="608816D1"/>
    <w:rsid w:val="6D0E3F22"/>
    <w:rsid w:val="7C9011D9"/>
    <w:rsid w:val="7DC651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1C9CE95"/>
  <w15:docId w15:val="{83FB4AC5-3252-42FA-AA0C-4FF3DD4C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pPr>
      <w:spacing w:after="120"/>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6">
    <w:name w:val="一级标题（二号小标宋）"/>
    <w:basedOn w:val="a"/>
    <w:qFormat/>
    <w:pPr>
      <w:jc w:val="center"/>
    </w:pPr>
    <w:rPr>
      <w:rFonts w:ascii="方正书宋简体" w:eastAsia="方正小标宋_GBK" w:hAnsi="方正书宋简体"/>
      <w:color w:val="000000"/>
      <w:sz w:val="42"/>
      <w:szCs w:val="42"/>
    </w:rPr>
  </w:style>
  <w:style w:type="paragraph" w:customStyle="1" w:styleId="155">
    <w:name w:val="15.5楷体（标题下楷体）"/>
    <w:basedOn w:val="a"/>
    <w:qFormat/>
    <w:pPr>
      <w:spacing w:before="105"/>
      <w:ind w:firstLineChars="200" w:firstLine="200"/>
      <w:jc w:val="center"/>
    </w:pPr>
    <w:rPr>
      <w:rFonts w:ascii="方正书宋简体" w:eastAsia="楷体_GB2312" w:hAnsi="方正书宋简体"/>
      <w:color w:val="000000"/>
      <w:sz w:val="31"/>
      <w:szCs w:val="31"/>
    </w:rPr>
  </w:style>
  <w:style w:type="paragraph" w:styleId="a7">
    <w:name w:val="Normal (Web)"/>
    <w:basedOn w:val="a"/>
    <w:uiPriority w:val="99"/>
    <w:unhideWhenUsed/>
    <w:rsid w:val="007F75B8"/>
    <w:pPr>
      <w:widowControl/>
      <w:spacing w:before="100" w:beforeAutospacing="1" w:after="100" w:afterAutospacing="1"/>
      <w:jc w:val="left"/>
    </w:pPr>
    <w:rPr>
      <w:rFonts w:ascii="宋体" w:eastAsia="宋体" w:hAnsi="宋体" w:cs="宋体"/>
      <w:kern w:val="0"/>
      <w:sz w:val="24"/>
    </w:rPr>
  </w:style>
  <w:style w:type="character" w:customStyle="1" w:styleId="text-tag">
    <w:name w:val="text-tag"/>
    <w:basedOn w:val="a1"/>
    <w:rsid w:val="007F75B8"/>
  </w:style>
  <w:style w:type="paragraph" w:customStyle="1" w:styleId="text-tag1">
    <w:name w:val="text-tag1"/>
    <w:basedOn w:val="a"/>
    <w:rsid w:val="007F75B8"/>
    <w:pPr>
      <w:widowControl/>
      <w:spacing w:before="100" w:beforeAutospacing="1" w:after="100" w:afterAutospacing="1"/>
      <w:jc w:val="left"/>
    </w:pPr>
    <w:rPr>
      <w:rFonts w:ascii="宋体" w:eastAsia="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123263">
      <w:bodyDiv w:val="1"/>
      <w:marLeft w:val="0"/>
      <w:marRight w:val="0"/>
      <w:marTop w:val="0"/>
      <w:marBottom w:val="0"/>
      <w:divBdr>
        <w:top w:val="none" w:sz="0" w:space="0" w:color="auto"/>
        <w:left w:val="none" w:sz="0" w:space="0" w:color="auto"/>
        <w:bottom w:val="none" w:sz="0" w:space="0" w:color="auto"/>
        <w:right w:val="none" w:sz="0" w:space="0" w:color="auto"/>
      </w:divBdr>
      <w:divsChild>
        <w:div w:id="1400250906">
          <w:marLeft w:val="1170"/>
          <w:marRight w:val="1170"/>
          <w:marTop w:val="450"/>
          <w:marBottom w:val="1050"/>
          <w:divBdr>
            <w:top w:val="none" w:sz="0" w:space="0" w:color="auto"/>
            <w:left w:val="none" w:sz="0" w:space="0" w:color="auto"/>
            <w:bottom w:val="none" w:sz="0" w:space="0" w:color="auto"/>
            <w:right w:val="none" w:sz="0" w:space="0" w:color="auto"/>
          </w:divBdr>
        </w:div>
      </w:divsChild>
    </w:div>
    <w:div w:id="1387876175">
      <w:bodyDiv w:val="1"/>
      <w:marLeft w:val="0"/>
      <w:marRight w:val="0"/>
      <w:marTop w:val="0"/>
      <w:marBottom w:val="0"/>
      <w:divBdr>
        <w:top w:val="none" w:sz="0" w:space="0" w:color="auto"/>
        <w:left w:val="none" w:sz="0" w:space="0" w:color="auto"/>
        <w:bottom w:val="none" w:sz="0" w:space="0" w:color="auto"/>
        <w:right w:val="none" w:sz="0" w:space="0" w:color="auto"/>
      </w:divBdr>
      <w:divsChild>
        <w:div w:id="211817407">
          <w:marLeft w:val="1170"/>
          <w:marRight w:val="1170"/>
          <w:marTop w:val="450"/>
          <w:marBottom w:val="105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11</Pages>
  <Words>641</Words>
  <Characters>3656</Characters>
  <Application>Microsoft Office Word</Application>
  <DocSecurity>0</DocSecurity>
  <Lines>30</Lines>
  <Paragraphs>8</Paragraphs>
  <ScaleCrop>false</ScaleCrop>
  <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jxm</cp:lastModifiedBy>
  <cp:revision>12</cp:revision>
  <cp:lastPrinted>2021-09-22T01:19:00Z</cp:lastPrinted>
  <dcterms:created xsi:type="dcterms:W3CDTF">2021-09-09T02:41:00Z</dcterms:created>
  <dcterms:modified xsi:type="dcterms:W3CDTF">2021-12-09T08:55:00Z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30879BFE283E47C9A2B528C6C152D221</vt:lpwstr>
  </property>
</Properties>
</file>